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Скорая медицинская помощь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03:13 МСК · База обновлена: 22.08.2026, 06:56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86 лет доставлена скорой помощью в СОСМП.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 при минимальной физической нагрузке, общую слабость, ощущение сердцебиения.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страдает бронхиальной астмой с молодости, получает беклометазон 250 мкг 1 доза утром, сальбутамол по требованию. В течение последних 1-2 недель постепенно нарастала одышка. Ухудшение состояния пациентка ни с чем не связывает, стала пользоваться сальбутамолом до 10 раз в день, на фоне чего одышка умеренно уменьшалась, но нарастала тахикардия. При очередном приступе одышки вызвала СМП, доставлена в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ИБС, ХСН IIA, ФК 3, 8 лет назад проведена ангиопластика и стентирование коронарных артерий. СД 2 типа на терапии глибенкламидом, хронический простой гастрит.</w:t>
        <w:br/>
        <w:t>* Вредные привычки: не курит, алкоголем не злоупотребляет.</w:t>
        <w:br/>
        <w:t>* Профессиональных вредностей не имеет.</w:t>
        <w:br/>
        <w:t>* Аллергологический анамнез не отягощен.</w:t>
        <w:br/>
        <w:t>* Аппендэктомия в детстве.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состояние: средней тяжести. Сознание ясное. В контакт вступает легко. Рост 150 см, вес 53.0 кг, индекс массы тела: 23.6 (норма) Отеков нет. Щитовидная железа не увеличена.</w:t>
      </w:r>
    </w:p>
    <w:p>
      <w:pPr>
        <w:spacing w:after="58"/>
      </w:pPr>
      <w:r>
        <w:rPr>
          <w:b w:val="0"/>
          <w:i w:val="0"/>
        </w:rPr>
        <w:t>Сердечно-сосудистая система: Пульс 81 уд. в мин., ритмичный, удовлетворительного наполнения, АД 140/90 мм рт. ст. Тоны сердца приглушены, ритмичные.</w:t>
      </w:r>
    </w:p>
    <w:p>
      <w:pPr>
        <w:spacing w:after="58"/>
      </w:pPr>
      <w:r>
        <w:rPr>
          <w:b w:val="0"/>
          <w:i w:val="0"/>
        </w:rPr>
        <w:t>Дыхательная система: ЧДД 22 в мин. При перкуссии: над легкими коробочный тон, при аускультации: дыхание жесткое, сухие свистящие рассеянные хрипы. SpО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91%.</w:t>
      </w:r>
    </w:p>
    <w:p>
      <w:pPr>
        <w:spacing w:after="58"/>
      </w:pPr>
      <w:r>
        <w:rPr>
          <w:b w:val="0"/>
          <w:i w:val="0"/>
        </w:rPr>
        <w:t>Желудочно-кишечный тракт: Язык влажный, не обложен, живот при пальпации мягкий, безболезненный во всех отделах, симптомы раздражения брюшины отрицательные.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Лабораторными методами исследования необходимыми для постановки диагноза пациентке в условиях СОСМП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газов артериальной крови и КОС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уровня 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общий анализ мокроты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определение газов артериальной крови и КОС</w:t>
      </w:r>
      <w:r>
        <w:br/>
      </w:r>
      <w:r>
        <w:rPr>
          <w:b/>
          <w:i w:val="0"/>
        </w:rPr>
        <w:t>2 - клинический анализ крови</w:t>
      </w:r>
      <w:r>
        <w:br/>
      </w:r>
      <w:r>
        <w:rPr>
          <w:b/>
          <w:i w:val="0"/>
        </w:rPr>
        <w:t>3 - определение уровня общего IgE</w:t>
      </w:r>
      <w:r>
        <w:br/>
      </w:r>
      <w:r>
        <w:rPr>
          <w:b/>
          <w:i w:val="0"/>
        </w:rPr>
        <w:t>5 - биохимический анализ крови</w:t>
      </w:r>
    </w:p>
    <w:p>
      <w:pPr>
        <w:spacing w:after="58"/>
      </w:pPr>
      <w:r>
        <w:rPr>
          <w:b w:val="0"/>
          <w:i w:val="0"/>
        </w:rPr>
        <w:t>Определение степени тяжести обострений БА у пациентов от 6 лет и старше: Жизнеугрожающая астма - SрO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&lt;92%</w:t>
      </w:r>
    </w:p>
    <w:p>
      <w:pPr>
        <w:spacing w:after="58"/>
      </w:pPr>
      <w:r>
        <w:rPr>
          <w:b w:val="0"/>
          <w:i w:val="0"/>
        </w:rPr>
        <w:t>Рекомендуется исследование кислотно-основного состояния и газов крови (парциального напряжения кислорода – PaO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>; парциального напряжения углекислого газа – PaCO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>; pH и уровень бикарбонатов (HCO3-) в артериальной крови в период тяжелого обострения БА, сопровождающегося развитием тяжелой дыхательной недостаточности для оценки рисков исходов, объективного понимания целесообразности оксигенотерапии или искусственной вентиляции легких.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Рекомендуется проведение развернутого общего (клинического) анализа крови всем пациентам при первичной диагностике и в динамике с целью оценки эозинофильного воспаления, а также при отборе пациентов для лечения ГИБП.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Рекомендовано исследование уровня общего иммуноглобулина Е в крови при первичной диагностике и в процессе динамического наблюдения с целью определения наличия аллергического воспаления и диагностики фенотипа астмы, а также при отборе пациентов для терапии омализумабом.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Лечение больных с АС осуществляют в ОСМПС с возможностями интенсивной терапии (GINA, 2011). План обследования больного включает следующие мероприятия: оценка тяжести состояния пациента; постоянное мониторирование ЧСС, ЭКГ (признаки ишемии миокарда); регулярное измерение АД непрямым методом; пульсоксиметрия; регулярное определение ЧД; мониторинг ПСВ; общий анализ крови; развернутый биохимический анализ крови (уровень калия); определение газового состава крови и КОС у больных с ПСВ &lt;50% должного значения.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Скорая медицинская помощь : национальное руководство / под ред. С. Ф. Багненко, С. С. Петрикова, И. П. Миннуллина, А. Г. Мирошниченко. — 2-е изд., перераб. и доп. — Москва : ГЭОТАР-Медиа, 2025 г.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Инструментальными методами исследования для постановки диагноза данному пациенту в условиях СОСМП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 в двух проекциях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ангиография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Эхо-КГ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пиковая скорость выдоха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рентгенография органов грудной клетки в двух проекциях</w:t>
      </w:r>
      <w:r>
        <w:br/>
      </w:r>
      <w:r>
        <w:rPr>
          <w:b/>
          <w:i w:val="0"/>
        </w:rPr>
        <w:t>5 - ЭКГ</w:t>
      </w:r>
      <w:r>
        <w:br/>
      </w:r>
      <w:r>
        <w:rPr>
          <w:b/>
          <w:i w:val="0"/>
        </w:rPr>
        <w:t>6 - пиковая скорость выдоха</w:t>
      </w:r>
    </w:p>
    <w:p>
      <w:pPr>
        <w:spacing w:after="58"/>
      </w:pPr>
      <w:r>
        <w:rPr>
          <w:b w:val="0"/>
          <w:i w:val="0"/>
        </w:rPr>
        <w:t>Рентгенографию органов грудной клетки в прямой проекции рекомендуется проводить пациентам с обострением БА для исключения медиастинальной эмфиземы или пневмоторакса, при подозрении на пневмонию, клинических признаках угрожающего жизни обострения, необходимости механической вентиляции легких.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Лечение больных с АС осуществляют в ОСМПС с возможностями интенсивной терапии (GINA, 2011). План обследования больного включает следующие мероприятия: оценка тяжести состояния пациента; постоянное мониторирование ЧСС, ЭКГ (признаки ишемии миокарда); регулярное измерение АД непрямым методом; пульсоксиметрия; регулярное определение ЧД; мониторинг ПСВ.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лечении обострения у всех пациентов с БА рекомендуется регулярно оценивать критерии тяжести обострения, в частности частоту дыхания, частоту сердечных сокращений, ПСВ и показатели пульсоксиметрии.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На основании результатов клинических, лабораторных и инструментальных методов обследования можно поставить диагноз </w:t>
      </w:r>
      <w:r>
        <w:rPr>
          <w:b w:val="0"/>
          <w:i w:val="0"/>
        </w:rPr>
        <w:t>_______________________________________________</w:t>
      </w:r>
      <w:r>
        <w:rPr>
          <w:b w:val="0"/>
          <w:i w:val="0"/>
        </w:rPr>
        <w:t>. Гипохромная микроцитарная анемия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ХОБЛ обострение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ОКС без подъема 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ХСН IIБ ст., IV ФК по NYHA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Бронхиальная астма, неконтролируемая, обострение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Бронхиальная астма, неконтролируемая, обострение</w:t>
      </w:r>
    </w:p>
    <w:p>
      <w:pPr>
        <w:spacing w:after="58"/>
      </w:pPr>
      <w:r>
        <w:rPr>
          <w:b w:val="0"/>
          <w:i w:val="0"/>
        </w:rPr>
        <w:t>Критериями полного контроля являются:</w:t>
      </w:r>
    </w:p>
    <w:p>
      <w:pPr>
        <w:spacing w:after="58"/>
      </w:pPr>
      <w:r>
        <w:rPr>
          <w:b w:val="0"/>
          <w:i w:val="0"/>
        </w:rPr>
        <w:t xml:space="preserve">* Отсутствие дневных симптомов чаще 2-х раз в неделю; </w:t>
        <w:br/>
        <w:t xml:space="preserve">* Отсутствие ночных пробуждений из-за БА; </w:t>
        <w:br/>
        <w:t xml:space="preserve">* Отсутствие потребности в препарате для купирования симптомов чаще 2-х раз в неделю; </w:t>
        <w:br/>
        <w:t>* Отсутствие любого ограничения активности из-за БА (для детей до 6 лет – бегает, играет меньше, чем другие дети; быстро устает от ходьбы/игры).</w:t>
      </w:r>
    </w:p>
    <w:p>
      <w:pPr>
        <w:spacing w:after="58"/>
      </w:pPr>
      <w:r>
        <w:rPr>
          <w:b w:val="0"/>
          <w:i w:val="0"/>
        </w:rPr>
        <w:t>Обострение БА представляет собой эпизоды нарастающей одышки, кашля, свистящих хрипов или заложенности в грудной клетке, учащения приступов затруднения дыхания и удушья, повышенной потребностью в использовании КДБА, сопровождающиеся снижением ПСВ и ОФВ1, требующие изменений обычного режима терапии. Выраженное снижение ПСВ и ОФВ1 являются надежными показателями тяжести обострения.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оценки степени тяжести обострения бронхиальной астмы у данной пациентки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частоту дыхания, частоту сердечных сокращений, ПСВ, SpO</w:t>
      </w:r>
      <w:r>
        <w:rPr>
          <w:b w:val="0"/>
          <w:i w:val="0"/>
          <w:vertAlign w:val="subscript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ЭКГ, клинический анализ крови, рентгенографию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артериальное давление, уровень пульсового давления, уровень гемоглобина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артериальное давление, уровень диуреза, уровень пульсового давления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частоту дыхания, частоту сердечных сокращений, ПСВ, SpO</w:t>
      </w:r>
      <w:r>
        <w:rPr>
          <w:b/>
          <w:i w:val="0"/>
          <w:vertAlign w:val="subscript"/>
        </w:rPr>
        <w:t>2</w:t>
      </w:r>
    </w:p>
    <w:p>
      <w:pPr>
        <w:spacing w:after="58"/>
      </w:pPr>
      <w:r>
        <w:rPr>
          <w:b w:val="0"/>
          <w:i w:val="0"/>
        </w:rPr>
        <w:t>Рекомендуется регулярно оценивать критерии тяжести обострения, в частности частоту дыхания, ПСВ и показатели пульсоксиметрии.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Данные клинического и биохимического анализов крови пациентки с большей степенью вероятности указывают на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анемию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В12-дефицитную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гемолитическую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железодефицитную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апластическую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железодефицитную</w:t>
      </w:r>
    </w:p>
    <w:p>
      <w:pPr>
        <w:spacing w:after="58"/>
      </w:pPr>
      <w:r>
        <w:rPr>
          <w:b w:val="0"/>
          <w:i w:val="0"/>
        </w:rPr>
        <w:t>При ЖДА отмечается снижение уровня гемоглобина, гематокрита среднего содержания и средней концентрации гемоглобина в эритроцитах (МСН и МСНС, соответственно), среднего объема эритроцитов (МСV). Количество эритроцитов обычно находится в пределах нормы. Ретикулоцитоз - не характерен, но может присутствовать у пациентов с кровотечениями. Морфологическим признаком ЖДА является гипохромия эритроцитов и анизоцитоз со склонностью к микроцитозу.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Для уточнения генеза анемии пациентке необходимо провести исследование уровня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трансферрина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ферритина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альбумина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ферритина</w:t>
      </w:r>
    </w:p>
    <w:p>
      <w:pPr>
        <w:spacing w:after="58"/>
      </w:pPr>
      <w:r>
        <w:rPr>
          <w:b w:val="0"/>
          <w:i w:val="0"/>
        </w:rPr>
        <w:t>Всем пациентам с подозрением на ЖДА исследовать сывороточные показатели обмена железа - уровня ферритина в крови, уровня трансферрина сыворотки крови, железосвязывающую способность сыворотки (ОЖСС), исследование уровня железа сыворотки крови и коэффициент насыщения трансферрина железом (НТЖ), для верификации наличия абсолютного дефицита железа.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проведении обследования пациентки получены следующие данные: Ферритин - 10 нг/мл (N: 30 – 300), Сывороточное железо - 7 мкмоль/л (N: 12,5 – 30). На основании полученных результатов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Острая постгеморрагическая анемия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Апластическая анемия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Железодефицитная анемия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Анемия хронического заболевания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Железодефицитная анемия</w:t>
      </w:r>
    </w:p>
    <w:p>
      <w:pPr>
        <w:spacing w:after="58"/>
      </w:pPr>
      <w:r>
        <w:rPr>
          <w:b w:val="0"/>
          <w:i w:val="0"/>
        </w:rPr>
        <w:t>Отличительными признаками истинной ЖДА являются низкий уровень сывороточного ферритина, отражающий истощение тканевых запасов железа, и повышенные показатели ОЖСС и трансферрина.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выявления причин железодефицитной анемии данной пациентке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мокроты на атипичные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маммографию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эзофагогастродуоденоскопию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эзофагогастродуоденоскопию</w:t>
      </w:r>
    </w:p>
    <w:p>
      <w:pPr>
        <w:spacing w:after="58"/>
      </w:pPr>
      <w:r>
        <w:rPr>
          <w:b w:val="0"/>
          <w:i w:val="0"/>
        </w:rPr>
        <w:t>Всем пациентам с впервые установленным диагнозом ЖДА мужского пола, а также женщинам в постменопаузе либо в репродуктивном возрасте, у которых ЖДА не коррелирует с ежемесячной потерей менструальной крови или родами, проведение эзофагогастродуоденоскопии (ЭГДС), колоноскопии и интестиноскопии в указанном порядке, до момента обнаружения достоверного источника кровопотери в ЖКТ, либо его исключения.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При углубленном обследовании не выявлено источников хронической кровопотери. Для лечения анемии следует использовать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препараты железа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в альтернирующем режиме (через день в течение месяца)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низкодозированные; перорально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высокодозированные; внутримышечно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низкодозированные; внутривенно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высокодозированные; перорально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низкодозированные; перорально</w:t>
      </w:r>
    </w:p>
    <w:p>
      <w:pPr>
        <w:spacing w:after="58"/>
      </w:pPr>
      <w:r>
        <w:rPr>
          <w:b w:val="0"/>
          <w:i w:val="0"/>
        </w:rPr>
        <w:t>Рекомендуется всем пациентам с ЖДА назначение пероральных лекарственных препаратов железа с целью возмещения дефицита железа в организме. Дозы железосодержащих препаратов и длительность лечения рассчитывают индивидуально с учетом возраста, массы тела пациента и терапевтического плана лечения</w:t>
      </w:r>
    </w:p>
    <w:p>
      <w:pPr>
        <w:spacing w:after="58"/>
      </w:pPr>
      <w:r>
        <w:rPr>
          <w:b w:val="0"/>
          <w:i w:val="0"/>
        </w:rPr>
        <w:t>Применение низкодозированных препаратов железа короткими курсами (2 недели в месяц) или альтернирующими режимами (через день в течение месяца) имеет более высокую эффективность и меньшую частоту побочных эффектов, чем применявшиеся ранее высокодозированные препараты, в том числе в виде повторных (2-3 раза в день) приемов</w:t>
      </w:r>
    </w:p>
    <w:p>
      <w:pPr>
        <w:spacing w:after="58"/>
      </w:pPr>
      <w:r>
        <w:rPr>
          <w:b w:val="0"/>
          <w:i w:val="0"/>
        </w:rPr>
        <w:t>Назначение рекомендуется внутривенных препаратов железа пациентам с ЖДА в случаях неэффективности, плохой переносимости или наличия противопоказаний к применению пероральных лекарственных препаратов железа. Применение внутривенных препаратов железа показано пациентам с расстройствами всасывания вследствие предшествующей обширной резекции кишечника, пациентам с воспалительными заболеваниями кишечника и синдромом мальабсорбции, пациентам с ХБП в преддиализном и диализном периодах, а также в случае необходимости получить быстрый эффект в виде восполнения запасов железа и повышения эффективности эритропоэза. Внутримышечное введение препаратов железа не используется из-за низкой эффективности, развития местного гемосидероза и опасности развития инфильтратов, абсцессов и даже миосаркомы в месте введения.</w:t>
      </w:r>
    </w:p>
    <w:p>
      <w:pPr>
        <w:spacing w:after="58"/>
      </w:pPr>
      <w:r>
        <w:rPr>
          <w:b w:val="0"/>
          <w:i w:val="0"/>
        </w:rPr>
        <w:t>Применение препаратов железа в низких дозах короткими курсами (2 недели в месяц) или альтернирующими режимами (через день в течение месяца) имеет достаточную эффективность и меньшую частоту побочных эффектов, чем применявшиеся ранее препараты железа в высоких дозах, в том числе в виде повторных (2-3 раза в день) приемов.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пациентки сохраняется экспираторная одышка, сухие свистящие хрипы диффузно при аускультации легких, тахикардия. Необходимая для пациентки терапия должна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таблетки теофиллина + бронходилататор длительного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омализумаб + ингаляционный ГКС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фиксированную комбинацию ингаляционного ГКС и длительно действующего β2-агониста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фиксированную комбинацию ингаляционный ингаляционного ГКС + бронходилататора короткого действия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фиксированную комбинацию ингаляционного ГКС и длительно действующего β2-агониста</w:t>
      </w:r>
    </w:p>
    <w:p>
      <w:pPr>
        <w:spacing w:after="58"/>
      </w:pPr>
      <w:r>
        <w:rPr>
          <w:b w:val="0"/>
          <w:i w:val="0"/>
        </w:rPr>
        <w:t>У взрослых и подростков комбинация ИГКС+формотерол в качестве комбинированной терапии в режиме единого ингалятора – как поддерживающей, так и облегчающей симптомы – более эффективна для снижения частоты обострений, по сравнению с теми же дозами ИГКС+ДДБА или более высокими дозами ИГКС базисной терапии. Наилучший эффект при переходе на комбинированную терапию наблюдается у пациентов с тяжелыми обострениями в анамнезе.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Данной пациентке для терапии ИБС противопоказан прием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ингибиторов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ацетилсалициловой кислоты в низких дозах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бета-адреноблокаторов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блокаторов кальциевых каналов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бета-адреноблокаторов</w:t>
      </w:r>
    </w:p>
    <w:p>
      <w:pPr>
        <w:spacing w:after="58"/>
      </w:pPr>
      <w:r>
        <w:rPr>
          <w:b w:val="0"/>
          <w:i w:val="0"/>
        </w:rPr>
        <w:t>К обострению БА могут привести различные триггеры, индуцирующие воспаление дыхательных путей или провоцирующие острый бронхоспазм. К основным триггерам относятся инфекции респираторного тракта (в основном, вирусы, чаще всего – риновирусы), аллергены, аэрополлютанты, физическая нагрузка, метеорологические факторы, прием некоторых лекарственных препаратов (бета-адреноблокаторы, у пациентов с «аспириновой БА» – прием НПВП, эмоциональные реакции.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Бронхиальная астма, 2024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Лечение парентеральными препаратами железа 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наличии желчекаменной болезни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уровне гемоглобина ниже 100 мг/л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наличии у пациента болезни Крона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гипоальбуминемии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наличии у пациента болезни Крона</w:t>
      </w:r>
    </w:p>
    <w:p>
      <w:pPr>
        <w:spacing w:after="58"/>
      </w:pPr>
      <w:r>
        <w:rPr>
          <w:b w:val="0"/>
          <w:i w:val="0"/>
        </w:rPr>
        <w:t>Применение внутривенных препаратов железа показано пациентам с расстройствами всасывания вследствие предшествующей обширной резекции кишечника, пациентам с воспалительными заболеваниями кишечника (язвенный колит, болезнь Крона) и синдромом мальабсорбции, пациентам с ХБП в преддиализном и диализном периодах, а также в случае необходимости получить быстрый эффект в виде восполнения запасов железа и повышения эффективности эритропоэза (например, перед большими оперативными вмешательствами).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Железодефицитная анемия, 2024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22" w:name="case_0002"/>
      <w:r>
        <w:t>Ситуационная задача 0002</w:t>
      </w:r>
      <w:bookmarkEnd w:id="2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31 год доставлен бригадой СМП с диагнозом о. живот.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боль в правой подвздошной области. Нарушения стула, дизурические явления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Указанный болевой синдром появился около 8 часов назад, самостоятельно принимал но-шпа без эффекта, в связи с сохранением болевого синдрома вызвал СМП.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анамнезе хронический гастрит;</w:t>
      </w:r>
    </w:p>
    <w:p>
      <w:pPr>
        <w:spacing w:after="58"/>
      </w:pPr>
      <w:r>
        <w:rPr>
          <w:b w:val="0"/>
          <w:i w:val="0"/>
        </w:rPr>
        <w:t>* не курит, алкоголь употребляет умеренно (по выходным);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аллергические реакции отрицает;</w:t>
      </w:r>
    </w:p>
    <w:p>
      <w:pPr>
        <w:spacing w:after="58"/>
      </w:pPr>
      <w:r>
        <w:rPr>
          <w:b w:val="0"/>
          <w:i w:val="0"/>
        </w:rPr>
        <w:t>* оперативных вмешательств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185 см, масса тела 77 кг. Кожные покровы обычной окраски и влажности. Периферических отеков нет. Дыхание везикулярное, ЧДД 16 в 1 мин. Тоны сердца ритмичные, ЧСС 78 в 1 мин, АД 140/75 мм рт. ст. Температура тела 36,6°С. Живот симметричный, болезненный при пальпации в правой подвздошной области, положительные симптомы Ровзинга, Бартоломье-Михельсона, Ситковского. Перитонеальные симптомы отрицательные.</w:t>
      </w:r>
    </w:p>
    <w:p>
      <w:pPr>
        <w:spacing w:after="58"/>
      </w:pPr>
      <w:r>
        <w:rPr>
          <w:b w:val="0"/>
          <w:i w:val="0"/>
        </w:rPr>
        <w:t>Ректально: кожа перианальной области не изменена, сфинктер в тонусе, пальпация стенок кишки болезненная, на высоте пальца патологических образований не определяется, кал на перчатке обычного цвета.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кала на клостридиальные токсины А и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анализ кала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прокальцитонин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биохимический анализ крови</w:t>
      </w:r>
      <w:r>
        <w:br/>
      </w:r>
      <w:r>
        <w:rPr>
          <w:b/>
          <w:i w:val="0"/>
        </w:rPr>
        <w:t>2 - общий анализ мочи</w:t>
      </w:r>
      <w:r>
        <w:br/>
      </w:r>
      <w:r>
        <w:rPr>
          <w:b/>
          <w:i w:val="0"/>
        </w:rPr>
        <w:t>4 - общий анализ крови</w:t>
      </w:r>
    </w:p>
    <w:p>
      <w:pPr>
        <w:spacing w:after="58"/>
      </w:pPr>
      <w:r>
        <w:rPr>
          <w:b w:val="0"/>
          <w:i w:val="0"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</w:r>
    </w:p>
    <w:p>
      <w:pPr>
        <w:spacing w:after="58"/>
      </w:pPr>
      <w:r>
        <w:rPr>
          <w:b w:val="0"/>
          <w:i w:val="0"/>
        </w:rPr>
        <w:t>Скорая медицинская помощь. Клинические рекомендации / под ред. С. Ф. Багненко. - Москва : ГЭОТАР-Медиа, 2023. - 896 с. - 896 с. - ISBN 978-5-9704-7735-9.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</w:r>
    </w:p>
    <w:p>
      <w:pPr>
        <w:spacing w:after="58"/>
      </w:pPr>
      <w:r>
        <w:rPr>
          <w:b w:val="0"/>
          <w:i w:val="0"/>
        </w:rPr>
        <w:t>Скорая медицинская помощь. Клинические рекомендации / под ред. С. Ф. Багненко. - Москва : ГЭОТАР-Медиа, 2023. - 896 с. - 896 с. - ISBN 978-5-9704-7735-9.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</w:r>
    </w:p>
    <w:p>
      <w:pPr>
        <w:spacing w:after="58"/>
      </w:pPr>
      <w:r>
        <w:rPr>
          <w:b w:val="0"/>
          <w:i w:val="0"/>
        </w:rPr>
        <w:t>Скорая медицинская помощь. Клинические рекомендации / под ред. С. Ф. Багненко. - Москва : ГЭОТАР-Медиа, 2023. - 896 с. - 896 с. - ISBN 978-5-9704-7735-9.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Положительный симптом Ровзинга - появление или усиление болей в правой подвздошной области при толчкообразном надавливании на левую подвздошную область - является признаком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острого холецистита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острого аппендицита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острого перитонита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обтурационной кишечной непроходимости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острого аппендицита</w:t>
      </w:r>
    </w:p>
    <w:p>
      <w:pPr>
        <w:spacing w:after="58"/>
      </w:pPr>
      <w:r>
        <w:rPr>
          <w:b w:val="0"/>
          <w:i w:val="0"/>
        </w:rPr>
        <w:t>Выявление симптомов острого аппендицита</w:t>
      </w:r>
    </w:p>
    <w:p>
      <w:pPr>
        <w:spacing w:after="58"/>
      </w:pPr>
      <w:r>
        <w:rPr>
          <w:b w:val="0"/>
          <w:i w:val="0"/>
        </w:rPr>
        <w:t>• …</w:t>
        <w:br/>
        <w:t>• Симптом Ровзинга - появление или усиление болей в правой подвздошной области при толчкообразном надавливании на левую подвздошную область.</w:t>
      </w:r>
    </w:p>
    <w:p>
      <w:pPr>
        <w:spacing w:after="58"/>
      </w:pPr>
      <w:r>
        <w:rPr>
          <w:b w:val="0"/>
          <w:i w:val="0"/>
        </w:rPr>
        <w:t>Скорая медицинская помощь. Клинические рекомендации / под ред. С. Ф. Багненко. - Москва : ГЭОТАР-Медиа, 2023. - 896 с. - 896 с. - ISBN 978-5-9704-7735-9.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оценки вероятности острого аппендицита используется шкала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Альговера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AIR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HAS-BLED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Глазго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AIR</w:t>
      </w:r>
    </w:p>
    <w:p>
      <w:pPr>
        <w:spacing w:after="58"/>
      </w:pPr>
      <w:r>
        <w:rPr>
          <w:b w:val="0"/>
          <w:i w:val="0"/>
        </w:rPr>
        <w:t>Рекомендуется всем пациентам проводить оценку вероятности ОА на основании шкал AIR (Appendicitis Inflammatory Response Score), RIPASA (Raja Isteri Pengiran Anak Saleha Appendicitis) и AAS (Adult Appendicitis Score).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Рекомендовано использование шкал AIR и AAS, поскольку они обладают наилучшей прогностической эффективностью при подозрении на ОА, а также снижают частоту негативных аппендэктомий и необходимость в применении визуализационных методов исследования в группах низкого и промежуточного риска.</w:t>
      </w:r>
    </w:p>
    <w:p>
      <w:pPr>
        <w:spacing w:after="58"/>
      </w:pPr>
      <w:hyperlink r:id="rId51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При оценке по шкале AIR пациент набрал 5 баллов (боли в подвздошной области – 2 б., лейкоцитоз – 2 б., сдвиг в формуле – 1 б.), что соответствует </w:t>
      </w:r>
      <w:r>
        <w:rPr>
          <w:b w:val="0"/>
          <w:i w:val="0"/>
        </w:rPr>
        <w:t>_______________</w:t>
      </w:r>
      <w:r>
        <w:rPr>
          <w:b w:val="0"/>
          <w:i w:val="0"/>
        </w:rPr>
        <w:t xml:space="preserve"> вероятности острого аппендицита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неопределенной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высокой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неопределенной</w:t>
      </w:r>
    </w:p>
    <w:p>
      <w:r>
        <w:drawing>
          <wp:inline xmlns:a="http://schemas.openxmlformats.org/drawingml/2006/main" xmlns:pic="http://schemas.openxmlformats.org/drawingml/2006/picture">
            <wp:extent cx="5303520" cy="3203958"/>
            <wp:docPr id="29" name="Picture 2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240b4072639fc2c1c9c6e121820d0299e553218.png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039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 1.png</w:t>
      </w:r>
    </w:p>
    <w:p>
      <w:r>
        <w:drawing>
          <wp:inline xmlns:a="http://schemas.openxmlformats.org/drawingml/2006/main" xmlns:pic="http://schemas.openxmlformats.org/drawingml/2006/picture">
            <wp:extent cx="5303520" cy="5344316"/>
            <wp:docPr id="30" name="Picture 3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74d2a8e652cc317526996ec9c4f82d5549761fc.png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34431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3851651"/>
            <wp:docPr id="31" name="Picture 3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dd04340f216760d7e4e2e6ce26432345699f504.png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5165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 2.png</w:t>
      </w:r>
    </w:p>
    <w:p>
      <w:r>
        <w:drawing>
          <wp:inline xmlns:a="http://schemas.openxmlformats.org/drawingml/2006/main" xmlns:pic="http://schemas.openxmlformats.org/drawingml/2006/picture">
            <wp:extent cx="5303520" cy="3558580"/>
            <wp:docPr id="32" name="Picture 3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3e933b25dc73844442c68cd19b49595f0c6e3dc.png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585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945589"/>
            <wp:docPr id="33" name="Picture 3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974578a66c21e4cf77f0757f32c716dad75f601.png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9455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888476"/>
            <wp:docPr id="34" name="Picture 3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89b46370fbcad45a28a941d2c37e421aaa44450.png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8847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Ключ по шкале AIR:</w:t>
      </w:r>
    </w:p>
    <w:p>
      <w:pPr>
        <w:spacing w:after="58"/>
      </w:pPr>
      <w:r>
        <w:rPr>
          <w:b w:val="0"/>
          <w:i w:val="0"/>
        </w:rPr>
        <w:t>0–4 балла: низкая вероятность аппендицита</w:t>
      </w:r>
    </w:p>
    <w:p>
      <w:pPr>
        <w:spacing w:after="58"/>
      </w:pPr>
      <w:r>
        <w:rPr>
          <w:b w:val="0"/>
          <w:i w:val="0"/>
        </w:rPr>
        <w:t>5–8 баллов: неопределенная вероятность аппендицита</w:t>
      </w:r>
    </w:p>
    <w:p>
      <w:pPr>
        <w:spacing w:after="58"/>
      </w:pPr>
      <w:r>
        <w:rPr>
          <w:b w:val="0"/>
          <w:i w:val="0"/>
        </w:rPr>
        <w:t>9–12 баллов: высокая вероятность аппендицита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5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Принятие решения о необходимости проведения дополнительной визуализации брюшной полости основывается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оценке вероятности острого аппендицита по шкале AIR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наличии или отсутствии симптомов раздражения брюшины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оценке уровня лейкоцитоза (больше или меньше 15х10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длительности заболевания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оценке вероятности острого аппендицита по шкале AIR</w:t>
      </w:r>
    </w:p>
    <w:p>
      <w:pPr>
        <w:spacing w:after="58"/>
      </w:pPr>
      <w:r>
        <w:rPr>
          <w:b w:val="0"/>
          <w:i w:val="0"/>
        </w:rPr>
        <w:t>Рекомендовано использование шкал AIR и AAS, поскольку они обладают наилучшей прогностической эффективностью при подозрении на ОА, а также снижают частоту негативных аппендэктомий и необходимость в применении визуализационных методов исследования в группах низкого и промежуточного риска.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данном случае в качестве уточняющего исследования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флюорограмму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ректороманоскопию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органов брюшной полости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компьютерную томографию органов брюшной полости</w:t>
      </w:r>
    </w:p>
    <w:p>
      <w:pPr>
        <w:spacing w:after="58"/>
      </w:pPr>
      <w:r>
        <w:rPr>
          <w:b w:val="0"/>
          <w:i w:val="0"/>
        </w:rPr>
        <w:t>К использованию КТ ОБП рекомендуется прибегать после оценки общего состояния пациента и определения вероятности ОА, используя прогностические шкалы.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5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Учитывая полученные данные лабораторно-инструментального исследования,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Мезаденит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парапроктит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аппендицит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панкреатит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Острый аппендицит</w:t>
      </w:r>
    </w:p>
    <w:p>
      <w:pPr>
        <w:spacing w:after="58"/>
      </w:pPr>
      <w:r>
        <w:rPr>
          <w:b w:val="0"/>
          <w:i w:val="0"/>
        </w:rPr>
        <w:t>У больного имеется классическая клиническая картина (анамнез, типичные физикальные симптомы: симптомы Ровзинга, Бартоломье-Михельсона, Ситковского.</w:t>
      </w:r>
    </w:p>
    <w:p>
      <w:pPr>
        <w:spacing w:after="58"/>
      </w:pPr>
      <w:r>
        <w:rPr>
          <w:b w:val="0"/>
          <w:i w:val="0"/>
        </w:rPr>
        <w:t>Лабораторные признаки: нейтрофильный лейкоцитоз, ускорение СОЭ); 5 баллов по шкале AIR, требовали проведения дополнительного обследования – КТ ОБП, при котором были выявлены признаки аппендицита тазово расположенного аппендикса с аппендиколитами, инфильтративными изменениями параппендикулярной клетчатки с формированием жидкостного скопления на этом фоне, на основании чего установлен клинический диагноз острого аппендицита.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6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Болезненность стенок прямой кишки при ректальном обследовании больного может указывать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тазовое расположение аппендикса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парапроктит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кишечное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пельвиоперитонит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тазовое расположение аппендикса</w:t>
      </w:r>
    </w:p>
    <w:p>
      <w:pPr>
        <w:spacing w:after="58"/>
      </w:pPr>
      <w:r>
        <w:rPr>
          <w:b w:val="0"/>
          <w:i w:val="0"/>
        </w:rPr>
        <w:t>В случаях тазового расположения червеобразного отростка или наличия инфильтрата ректальное исследование позволяет выявить болезненность передней стенки прямой кишки.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6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постановки окончательного диагноза и определения тактики ведения показана консультация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инфекциониста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хирурга</w:t>
      </w:r>
    </w:p>
    <w:p>
      <w:pPr>
        <w:spacing w:after="58"/>
      </w:pPr>
      <w:r>
        <w:rPr>
          <w:b w:val="0"/>
          <w:i w:val="0"/>
        </w:rPr>
        <w:t>При поступлении в приёмное отделение пациента с подозрением на ОА рекомендуется прием (осмотр, консультация) врача-хирурга с целью исключения или подтверждения данного диагноза и определения дальнейшей тактики.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6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Основным методом лечения острого аппендицита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открытая аппендэктомия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лапароскопическая аппендэктомия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консервативная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чрескожное дренирование правой подвздошной ямки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лапароскопическая аппендэктомия</w:t>
      </w:r>
    </w:p>
    <w:p>
      <w:pPr>
        <w:spacing w:after="58"/>
      </w:pPr>
      <w:r>
        <w:rPr>
          <w:b w:val="0"/>
          <w:i w:val="0"/>
        </w:rPr>
        <w:t>Аппендэктомия является стандартом лечения острого аппендицита, она может быть выполнена открытым или, что предпочтительнее, лапароскопическим доступом, а также эндоскопическим транслюминальным доступом, который не имеет преимуществ перед первыми двумя доступами и не рассматривается в качестве их альтернативы.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Противопоказанием к лапароскопической операции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деструктивные формы аппендицита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перитонит с выраженным парезом ЖКТ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недостаточная масса тела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беременность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перитонит с выраженным парезом ЖКТ</w:t>
      </w:r>
    </w:p>
    <w:p>
      <w:pPr>
        <w:spacing w:after="58"/>
      </w:pPr>
      <w:r>
        <w:rPr>
          <w:b w:val="0"/>
          <w:i w:val="0"/>
        </w:rPr>
        <w:t>При распространенном и диффузном перитоните, осложнённом выраженным парезом ЖКТ, компартмент-синдромом, септическим шоком, рекомендуется выполнение операции открытым доступом через срединную лапаротомию и соответствующей программы послеоперационного ведения в отделении реанимации и интенсивной терапии.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6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Основной причиной развития острого аппендицита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метастатические отсевы из очагов инфекции 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генетическая предрасположенность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пассажа содержимого из просвета червеобразного отростка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употреблением пищи, не подвергшейся термической обработке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нарушение пассажа содержимого из просвета червеобразного отростка</w:t>
      </w:r>
    </w:p>
    <w:p>
      <w:pPr>
        <w:spacing w:after="58"/>
      </w:pPr>
      <w:r>
        <w:rPr>
          <w:b w:val="0"/>
          <w:i w:val="0"/>
        </w:rPr>
        <w:t>Основной причиной развития острого аппендицита является нарушение пассажа содержимого из просвета червеобразного отростка. Оно может быть обусловлено копролитами, глистной инвазией, пищевыми массами, лимфоидной гипертрофией, новообразованиями. Секреция слизи в условиях обструкции приводит к повышению давления внутри просвета аппендикса. Содержимое червеобразного отростка, обсемененное патогенной флорой, служит благоприятной средой для развития острого аппендицита.</w:t>
      </w:r>
    </w:p>
    <w:p>
      <w:pPr>
        <w:spacing w:after="58"/>
      </w:pPr>
      <w:r>
        <w:rPr>
          <w:b w:val="0"/>
          <w:i w:val="0"/>
        </w:rPr>
        <w:t>Наиболее часто выделяемая микрофлора – это аэробные микроорганизмы: _Esherichia Coli_, _Viridans streptococci_, _Pseudomonas Aerugenosa_, _Streptococcus D_; анаэробы _Bacteroides Fragilis_, _Bacteroides Thetaiotaomicron_, _Peptostreptococcus Micros Bilophila wadsworthia_, _Lactobacillus spp_ и их ассоциации. У пациентов пожилого и старческого возраста возможен первичный гангренозный аппендицит, связанный с тромбозом аппендикулярной артерии, которая не имеет анастомозов.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6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Скорая медицинская помощь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KP359_24/" TargetMode="External"/><Relationship Id="rId24" Type="http://schemas.openxmlformats.org/officeDocument/2006/relationships/hyperlink" Target="https://library.mededtech.ru/rest/documents/KP359_24/#table3" TargetMode="External"/><Relationship Id="rId25" Type="http://schemas.openxmlformats.org/officeDocument/2006/relationships/hyperlink" Target="https://library.mededtech.ru/rest/documents/KP359_24/#list_item_rr0f6b" TargetMode="External"/><Relationship Id="rId26" Type="http://schemas.openxmlformats.org/officeDocument/2006/relationships/hyperlink" Target="https://library.mededtech.ru/rest/documents/KP359_24/#list_item_p35eqf" TargetMode="External"/><Relationship Id="rId27" Type="http://schemas.openxmlformats.org/officeDocument/2006/relationships/hyperlink" Target="https://library.mededtech.ru/rest/documents/KP359_24/#list_item_9rj9ce" TargetMode="External"/><Relationship Id="rId28" Type="http://schemas.openxmlformats.org/officeDocument/2006/relationships/hyperlink" Target="https://library.mededtech.ru/rest/documents/KP359_24/#list_item_0r2qr3" TargetMode="External"/><Relationship Id="rId29" Type="http://schemas.openxmlformats.org/officeDocument/2006/relationships/hyperlink" Target="https://library.mededtech.ru/rest/documents/library2522/?anchor=list_item_ii9nv3#list_item_ii9nv3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359_24/#list_item_4tu2ne" TargetMode="External"/><Relationship Id="rId32" Type="http://schemas.openxmlformats.org/officeDocument/2006/relationships/hyperlink" Target="https://library.mededtech.ru/rest/documents/KP359_24/#list_item_6n09t7" TargetMode="External"/><Relationship Id="rId33" Type="http://schemas.openxmlformats.org/officeDocument/2006/relationships/hyperlink" Target="https://library.mededtech.ru/rest/documents/KP359_24/#list_item_v2hfn4" TargetMode="External"/><Relationship Id="rId34" Type="http://schemas.openxmlformats.org/officeDocument/2006/relationships/image" Target="media/image9.png"/><Relationship Id="rId35" Type="http://schemas.openxmlformats.org/officeDocument/2006/relationships/hyperlink" Target="https://library.mededtech.ru/rest/documents/KP359_24/#paragraph_r8tmut" TargetMode="External"/><Relationship Id="rId36" Type="http://schemas.openxmlformats.org/officeDocument/2006/relationships/hyperlink" Target="https://library.mededtech.ru/rest/documents/KP359_24/#paragraph_ffnvrm" TargetMode="External"/><Relationship Id="rId37" Type="http://schemas.openxmlformats.org/officeDocument/2006/relationships/hyperlink" Target="https://library.mededtech.ru/rest/documents/KP669_24/" TargetMode="External"/><Relationship Id="rId38" Type="http://schemas.openxmlformats.org/officeDocument/2006/relationships/hyperlink" Target="https://library.mededtech.ru/rest/documents/KP669_24/index.html#paragraph_0ou6ik" TargetMode="External"/><Relationship Id="rId39" Type="http://schemas.openxmlformats.org/officeDocument/2006/relationships/hyperlink" Target="https://library.mededtech.ru/rest/documents/KP669_24/index.html#list_item_ddq564" TargetMode="External"/><Relationship Id="rId40" Type="http://schemas.openxmlformats.org/officeDocument/2006/relationships/hyperlink" Target="https://library.mededtech.ru/rest/documents/KP669_24/index.html#paragraph_vmm88i" TargetMode="External"/><Relationship Id="rId41" Type="http://schemas.openxmlformats.org/officeDocument/2006/relationships/hyperlink" Target="https://library.mededtech.ru/rest/documents/KP669_24/index.html#list_item_83mm9h" TargetMode="External"/><Relationship Id="rId42" Type="http://schemas.openxmlformats.org/officeDocument/2006/relationships/hyperlink" Target="https://library.mededtech.ru/rest/documents/KP669_24/index.html#list_item_1frufm" TargetMode="External"/><Relationship Id="rId43" Type="http://schemas.openxmlformats.org/officeDocument/2006/relationships/hyperlink" Target="https://library.mededtech.ru/rest/documents/KP669_24/index.html#paragraph_qbvb0f" TargetMode="External"/><Relationship Id="rId44" Type="http://schemas.openxmlformats.org/officeDocument/2006/relationships/hyperlink" Target="https://library.mededtech.ru/rest/documents/KP359_24/#paragraph_h15fig" TargetMode="External"/><Relationship Id="rId45" Type="http://schemas.openxmlformats.org/officeDocument/2006/relationships/hyperlink" Target="https://library.mededtech.ru/rest/documents/KP359_24/#paragraph_228o53" TargetMode="External"/><Relationship Id="rId46" Type="http://schemas.openxmlformats.org/officeDocument/2006/relationships/hyperlink" Target="https://library.mededtech.ru/rest/documents/KP669_24/index.html#paragraph_00q9tt" TargetMode="External"/><Relationship Id="rId47" Type="http://schemas.openxmlformats.org/officeDocument/2006/relationships/hyperlink" Target="https://library.mededtech.ru/rest/documents/ISBN9785970477359/?anchor=paragraph_6nn9li#paragraph_6nn9li" TargetMode="External"/><Relationship Id="rId48" Type="http://schemas.openxmlformats.org/officeDocument/2006/relationships/hyperlink" Target="https://library.mededtech.ru/rest/documents/ISBN9785970477359/?anchor=list_item_j1nt41#list_item_j1nt41" TargetMode="External"/><Relationship Id="rId49" Type="http://schemas.openxmlformats.org/officeDocument/2006/relationships/hyperlink" Target="https://library.mededtech.ru/rest/documents/KP325_23/" TargetMode="External"/><Relationship Id="rId50" Type="http://schemas.openxmlformats.org/officeDocument/2006/relationships/hyperlink" Target="https://library.mededtech.ru/rest/documents/KP325_23/#list_item_qsvsft" TargetMode="External"/><Relationship Id="rId51" Type="http://schemas.openxmlformats.org/officeDocument/2006/relationships/hyperlink" Target="https://library.mededtech.ru/rest/documents/KP325_23/#paragraph_v2t6dp" TargetMode="External"/><Relationship Id="rId52" Type="http://schemas.openxmlformats.org/officeDocument/2006/relationships/image" Target="media/image10.png"/><Relationship Id="rId53" Type="http://schemas.openxmlformats.org/officeDocument/2006/relationships/image" Target="media/image11.png"/><Relationship Id="rId54" Type="http://schemas.openxmlformats.org/officeDocument/2006/relationships/image" Target="media/image12.png"/><Relationship Id="rId55" Type="http://schemas.openxmlformats.org/officeDocument/2006/relationships/image" Target="media/image13.png"/><Relationship Id="rId56" Type="http://schemas.openxmlformats.org/officeDocument/2006/relationships/image" Target="media/image14.png"/><Relationship Id="rId57" Type="http://schemas.openxmlformats.org/officeDocument/2006/relationships/image" Target="media/image15.png"/><Relationship Id="rId58" Type="http://schemas.openxmlformats.org/officeDocument/2006/relationships/hyperlink" Target="https://library.mededtech.ru/rest/documents/KP325_23/#paragraph_emn1e6" TargetMode="External"/><Relationship Id="rId59" Type="http://schemas.openxmlformats.org/officeDocument/2006/relationships/hyperlink" Target="https://library.mededtech.ru/rest/documents/KP325_23/#list_item_kt57c9" TargetMode="External"/><Relationship Id="rId60" Type="http://schemas.openxmlformats.org/officeDocument/2006/relationships/hyperlink" Target="https://library.mededtech.ru/rest/documents/KP325_23/#paragraph_ns4p42" TargetMode="External"/><Relationship Id="rId61" Type="http://schemas.openxmlformats.org/officeDocument/2006/relationships/hyperlink" Target="https://library.mededtech.ru/rest/documents/KP325_23/#paragraph_lf67qr" TargetMode="External"/><Relationship Id="rId62" Type="http://schemas.openxmlformats.org/officeDocument/2006/relationships/hyperlink" Target="https://library.mededtech.ru/rest/documents/KP325_23/#list_item_dn64s3" TargetMode="External"/><Relationship Id="rId63" Type="http://schemas.openxmlformats.org/officeDocument/2006/relationships/hyperlink" Target="https://library.mededtech.ru/rest/documents/KP325_23/#paragraph_53p13c" TargetMode="External"/><Relationship Id="rId64" Type="http://schemas.openxmlformats.org/officeDocument/2006/relationships/hyperlink" Target="https://library.mededtech.ru/rest/documents/KP325_23/#list_item_fs3u3e" TargetMode="External"/><Relationship Id="rId65" Type="http://schemas.openxmlformats.org/officeDocument/2006/relationships/hyperlink" Target="https://library.mededtech.ru/rest/documents/KP325_23/#paragraph_g46cc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